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inline>
            <wp:extent cx="771757" cy="840797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771757" cy="84079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Архангельской о</w:t>
      </w:r>
      <w:r>
        <w:rPr>
          <w:rFonts w:ascii="Times New Roman" w:hAnsi="Times New Roman"/>
          <w:b w:val="1"/>
          <w:sz w:val="28"/>
        </w:rPr>
        <w:t>б</w:t>
      </w:r>
      <w:r>
        <w:rPr>
          <w:rFonts w:ascii="Times New Roman" w:hAnsi="Times New Roman"/>
          <w:b w:val="1"/>
          <w:sz w:val="28"/>
        </w:rPr>
        <w:t xml:space="preserve">ласти и Ненецкого автономного округа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Информационная памятка по вопросам соблюдения прав субъектов предпринимательской деятельности при проведении контрольн</w:t>
      </w:r>
      <w:r>
        <w:rPr>
          <w:rFonts w:ascii="Times New Roman" w:hAnsi="Times New Roman"/>
          <w:b w:val="1"/>
          <w:sz w:val="28"/>
        </w:rPr>
        <w:t>ых (</w:t>
      </w:r>
      <w:r>
        <w:rPr>
          <w:rFonts w:ascii="Times New Roman" w:hAnsi="Times New Roman"/>
          <w:b w:val="1"/>
          <w:sz w:val="28"/>
        </w:rPr>
        <w:t>надзорных</w:t>
      </w:r>
      <w:r>
        <w:rPr>
          <w:rFonts w:ascii="Times New Roman" w:hAnsi="Times New Roman"/>
          <w:b w:val="1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мероприятий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Отношения по организации и осуществлению государственного контроля (надзора), муниципального контроля, установление гарантий защиты прав граждан и организаций, как контролируемых лиц, регламентированы Федеральным законом от 31.07.2020 № 248-ФЗ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государственном контроле (надзоре) и муниципальном контроле в Российской Федерации» </w:t>
      </w:r>
      <w:r>
        <w:br/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Федеральный з</w:t>
      </w:r>
      <w:r>
        <w:rPr>
          <w:rFonts w:ascii="Times New Roman" w:hAnsi="Times New Roman"/>
          <w:sz w:val="28"/>
        </w:rPr>
        <w:t>акон № 248-ФЗ)</w:t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до </w:t>
      </w:r>
      <w:r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.2025 продолжает действовать Федеральный закон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26.12.2008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294-ФЗ «О защите прав юридических лиц и индивидуальных предпринимателей» при осуществлении государственного контроля (надзора) и муниципального контроля» 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Федеральный з</w:t>
      </w:r>
      <w:r>
        <w:rPr>
          <w:rFonts w:ascii="Times New Roman" w:hAnsi="Times New Roman"/>
          <w:sz w:val="28"/>
        </w:rPr>
        <w:t xml:space="preserve">акон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294-ФЗ).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наступления указанн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даты положения</w:t>
      </w:r>
      <w:r>
        <w:rPr>
          <w:rFonts w:ascii="Times New Roman" w:hAnsi="Times New Roman"/>
          <w:sz w:val="28"/>
        </w:rPr>
        <w:t xml:space="preserve"> Федерального з</w:t>
      </w:r>
      <w:r>
        <w:rPr>
          <w:rFonts w:ascii="Times New Roman" w:hAnsi="Times New Roman"/>
          <w:sz w:val="28"/>
        </w:rPr>
        <w:t>акон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br/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294-ФЗ применяются при организации и осуществлении отдельных видов государственного контроля (надзора) из числа видов контроля (надзора), не включенных в предмет регулирования </w:t>
      </w:r>
      <w:r>
        <w:rPr>
          <w:rFonts w:ascii="Times New Roman" w:hAnsi="Times New Roman"/>
          <w:sz w:val="28"/>
        </w:rPr>
        <w:t>Федерального з</w:t>
      </w:r>
      <w:r>
        <w:rPr>
          <w:rFonts w:ascii="Times New Roman" w:hAnsi="Times New Roman"/>
          <w:sz w:val="28"/>
        </w:rPr>
        <w:t>акон</w:t>
      </w:r>
      <w:r>
        <w:rPr>
          <w:rFonts w:ascii="Times New Roman" w:hAnsi="Times New Roman"/>
          <w:sz w:val="28"/>
        </w:rPr>
        <w:t>а № 248</w:t>
      </w:r>
      <w:r>
        <w:rPr>
          <w:rFonts w:ascii="Times New Roman" w:hAnsi="Times New Roman"/>
          <w:sz w:val="28"/>
        </w:rPr>
        <w:t>-ФЗ.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положения </w:t>
      </w:r>
      <w:r>
        <w:rPr>
          <w:rFonts w:ascii="Times New Roman" w:hAnsi="Times New Roman"/>
          <w:sz w:val="28"/>
        </w:rPr>
        <w:t>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294-ФЗ применяются при организации и осуществлении контроля за оборотом наркотических средств, психотропных веществ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федерального государственного контроля (надзора) </w:t>
      </w:r>
      <w:r>
        <w:br/>
      </w:r>
      <w:r>
        <w:rPr>
          <w:rFonts w:ascii="Times New Roman" w:hAnsi="Times New Roman"/>
          <w:sz w:val="28"/>
        </w:rPr>
        <w:t>в сфере миграции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 др</w:t>
      </w:r>
      <w:r>
        <w:rPr>
          <w:rFonts w:ascii="Times New Roman" w:hAnsi="Times New Roman"/>
          <w:sz w:val="28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ВИДЫ КОНТРОЛЬНЫХ (НАДЗОРНЫХ</w:t>
      </w:r>
      <w:r>
        <w:rPr>
          <w:rFonts w:ascii="Times New Roman" w:hAnsi="Times New Roman"/>
          <w:b w:val="1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МЕРОПРИЯТИЙ</w:t>
      </w:r>
      <w:r>
        <w:rPr>
          <w:rFonts w:ascii="Times New Roman" w:hAnsi="Times New Roman"/>
          <w:b w:val="1"/>
          <w:sz w:val="28"/>
        </w:rPr>
        <w:t>: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Контрольные (надзорные) мероприятия делятся на две основные группы: мероприятия, проводимые с взаимодействием с контролируемым лицом </w:t>
      </w:r>
      <w:r>
        <w:br/>
      </w:r>
      <w:r>
        <w:rPr>
          <w:rFonts w:ascii="Times New Roman" w:hAnsi="Times New Roman"/>
          <w:sz w:val="28"/>
        </w:rPr>
        <w:t>и требующие согласования с органами прокуратуры и без взаимодействия, которые не требуют такого согласования</w:t>
      </w:r>
      <w:r>
        <w:rPr>
          <w:rFonts w:ascii="Times New Roman" w:hAnsi="Times New Roman"/>
          <w:sz w:val="28"/>
        </w:rPr>
        <w:t>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15"/>
          <w:right w:type="dxa" w:w="15"/>
        </w:tblCellMar>
      </w:tblPr>
      <w:tblGrid>
        <w:gridCol w:w="5544"/>
        <w:gridCol w:w="5270"/>
      </w:tblGrid>
      <w:tr>
        <w:trPr>
          <w:trHeight w:hRule="atLeast" w:val="200"/>
        </w:trPr>
        <w:tc>
          <w:tcPr>
            <w:tcW w:type="dxa" w:w="55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2000000">
            <w:pPr>
              <w:spacing w:line="240" w:lineRule="auto"/>
              <w:ind w:firstLine="0" w:left="284"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При осуществлении взаимодействия:</w:t>
            </w:r>
          </w:p>
          <w:p w14:paraId="13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контрольная закупка</w:t>
            </w:r>
          </w:p>
          <w:p w14:paraId="14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мониторинговая закупка</w:t>
            </w:r>
          </w:p>
          <w:p w14:paraId="15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выборочный контроль</w:t>
            </w:r>
          </w:p>
          <w:p w14:paraId="16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инспекционный визит</w:t>
            </w:r>
          </w:p>
          <w:p w14:paraId="17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рейдовый осмотр</w:t>
            </w:r>
          </w:p>
          <w:p w14:paraId="18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документарная проверка </w:t>
            </w:r>
          </w:p>
          <w:p w14:paraId="19000000">
            <w:pPr>
              <w:numPr>
                <w:numId w:val="1"/>
              </w:numPr>
              <w:spacing w:after="0" w:line="240" w:lineRule="auto"/>
              <w:ind w:hanging="360" w:left="1701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выездна</w:t>
            </w:r>
            <w:r>
              <w:rPr>
                <w:rFonts w:ascii="Times New Roman" w:hAnsi="Times New Roman"/>
                <w:sz w:val="28"/>
              </w:rPr>
              <w:t>я п</w:t>
            </w:r>
            <w:r>
              <w:rPr>
                <w:rFonts w:ascii="Times New Roman" w:hAnsi="Times New Roman"/>
                <w:sz w:val="28"/>
              </w:rPr>
              <w:t>роверка</w:t>
            </w:r>
          </w:p>
          <w:p w14:paraId="1A000000">
            <w:pPr>
              <w:spacing w:after="0" w:line="240" w:lineRule="auto"/>
              <w:ind w:firstLine="0" w:left="284"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</w:tc>
        <w:tc>
          <w:tcPr>
            <w:tcW w:type="dxa" w:w="527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5"/>
              <w:right w:type="dxa" w:w="15"/>
            </w:tcMar>
          </w:tcPr>
          <w:p w14:paraId="1B000000">
            <w:pPr>
              <w:ind w:firstLine="0" w:left="-298"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Без взаимодействия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:</w:t>
            </w:r>
          </w:p>
          <w:p w14:paraId="1C000000">
            <w:pPr>
              <w:numPr>
                <w:numId w:val="2"/>
              </w:numPr>
              <w:spacing w:after="0"/>
              <w:ind w:hanging="360" w:left="992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наблюдение за соблюдением</w:t>
            </w:r>
          </w:p>
          <w:p w14:paraId="1D000000">
            <w:pPr>
              <w:spacing w:after="0"/>
              <w:ind w:hanging="360" w:left="992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     обязательных требований</w:t>
            </w:r>
          </w:p>
          <w:p w14:paraId="1E000000">
            <w:pPr>
              <w:numPr>
                <w:numId w:val="2"/>
              </w:numPr>
              <w:spacing w:after="0"/>
              <w:ind w:hanging="360" w:left="992"/>
              <w:jc w:val="both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выездное обследование</w:t>
            </w:r>
          </w:p>
        </w:tc>
      </w:tr>
    </w:tbl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ОСНОВАНИЯ ДЛЯ ПРОВЕДЕНИЯ КОНТРОЛЬНЫХ (НАДЗОРНЫХ) МЕРОПРИЯТИЙ</w:t>
      </w:r>
      <w:r>
        <w:rPr>
          <w:rFonts w:ascii="Times New Roman" w:hAnsi="Times New Roman"/>
          <w:b w:val="1"/>
          <w:sz w:val="28"/>
        </w:rPr>
        <w:t>: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21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наличие у контрольного (надзорного) органа сведений о причинении вреда (ущерба) или об угрозе причинения вреда (ущерба) охраняемым законом ценностям</w:t>
      </w:r>
      <w:r>
        <w:rPr>
          <w:rStyle w:val="Style_3_ch"/>
          <w:rFonts w:ascii="Times New Roman" w:hAnsi="Times New Roman"/>
          <w:sz w:val="28"/>
        </w:rPr>
        <w:t>;</w:t>
      </w:r>
    </w:p>
    <w:p w14:paraId="22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14:paraId="23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поручение Президента Российской Федерации, поручение Правительства Российской Федерации</w:t>
      </w:r>
      <w:r>
        <w:rPr>
          <w:rStyle w:val="Style_3_ch"/>
          <w:rFonts w:ascii="Times New Roman" w:hAnsi="Times New Roman"/>
          <w:sz w:val="28"/>
        </w:rPr>
        <w:t>;</w:t>
      </w:r>
    </w:p>
    <w:p w14:paraId="24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25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истечение срока исполнения предписания контрольного (надзорного) органа об устранении выявленного нарушения обязательных требований;</w:t>
      </w:r>
    </w:p>
    <w:p w14:paraId="26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27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rStyle w:val="Style_3_ch"/>
          <w:rFonts w:ascii="Times New Roman" w:hAnsi="Times New Roman"/>
          <w:sz w:val="28"/>
          <w:vertAlign w:val="superscript"/>
        </w:rPr>
        <w:footnoteReference w:id="1"/>
      </w:r>
    </w:p>
    <w:p w14:paraId="28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</w:t>
      </w:r>
      <w:r>
        <w:rPr>
          <w:rStyle w:val="Style_3_ch"/>
          <w:rFonts w:ascii="Times New Roman" w:hAnsi="Times New Roman"/>
          <w:sz w:val="28"/>
        </w:rPr>
        <w:t>;</w:t>
      </w:r>
    </w:p>
    <w:p w14:paraId="29000000">
      <w:pPr>
        <w:numPr>
          <w:numId w:val="3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уклонение контролируемого лица от проведения обязательного профилактического визита.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ВАЖНО!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aps w:val="1"/>
          <w:sz w:val="28"/>
        </w:rPr>
        <w:t>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получения соответствующего согласования.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u w:val="none"/>
        </w:rPr>
      </w:pPr>
      <w:r>
        <w:rPr>
          <w:rStyle w:val="Style_3_ch"/>
          <w:rFonts w:ascii="Times New Roman" w:hAnsi="Times New Roman"/>
          <w:b w:val="1"/>
          <w:caps w:val="1"/>
          <w:sz w:val="28"/>
          <w:u w:val="none"/>
        </w:rPr>
        <w:t>В</w:t>
      </w:r>
      <w:r>
        <w:rPr>
          <w:rStyle w:val="Style_3_ch"/>
          <w:rFonts w:ascii="Times New Roman" w:hAnsi="Times New Roman"/>
          <w:b w:val="1"/>
          <w:caps w:val="1"/>
          <w:sz w:val="28"/>
          <w:u w:val="none"/>
        </w:rPr>
        <w:t xml:space="preserve">неплановые контрольные (надзорные) мероприятия могут проводиться без согласования </w:t>
      </w:r>
      <w:r>
        <w:br/>
      </w:r>
      <w:r>
        <w:rPr>
          <w:rStyle w:val="Style_3_ch"/>
          <w:rFonts w:ascii="Times New Roman" w:hAnsi="Times New Roman"/>
          <w:b w:val="1"/>
          <w:caps w:val="1"/>
          <w:sz w:val="28"/>
          <w:u w:val="none"/>
        </w:rPr>
        <w:t>с органами прокуратуры, только</w:t>
      </w:r>
      <w:r>
        <w:rPr>
          <w:rStyle w:val="Style_3_ch"/>
          <w:rFonts w:ascii="Times New Roman" w:hAnsi="Times New Roman"/>
          <w:b w:val="1"/>
          <w:sz w:val="28"/>
          <w:u w:val="none"/>
        </w:rPr>
        <w:t xml:space="preserve">: </w:t>
      </w: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u w:val="none"/>
        </w:rPr>
      </w:pPr>
    </w:p>
    <w:p w14:paraId="30000000">
      <w:pPr>
        <w:numPr>
          <w:numId w:val="4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по поручениям Президента или Правительства Российской Федерации; </w:t>
      </w:r>
    </w:p>
    <w:p w14:paraId="31000000">
      <w:pPr>
        <w:numPr>
          <w:numId w:val="4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на основании требования прокурора; </w:t>
      </w:r>
    </w:p>
    <w:p w14:paraId="32000000">
      <w:pPr>
        <w:numPr>
          <w:numId w:val="4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связи с наступлением события, указанного в программе проверок; </w:t>
      </w:r>
    </w:p>
    <w:p w14:paraId="33000000">
      <w:pPr>
        <w:numPr>
          <w:numId w:val="4"/>
        </w:numPr>
        <w:spacing w:after="0" w:line="240" w:lineRule="auto"/>
        <w:ind w:hanging="360" w:left="992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наличием у контрольного (надзорного) органа сведений об осуществлении контролируемым лицом деятельности без уведомления о начале осуществления предпринимательской деятельности, без лицензии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уведомлений, лицензий и сведений является обязательным.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УЗНАТЬ О ПРЕДСТОЯЩЕЙ ПРОВЕРКЕ МОЖНО: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37000000">
      <w:pPr>
        <w:numPr>
          <w:numId w:val="5"/>
        </w:numPr>
        <w:spacing w:after="0" w:line="240" w:lineRule="auto"/>
        <w:ind w:hanging="360" w:left="99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на сайте контролирующих ведомств;</w:t>
      </w:r>
    </w:p>
    <w:p w14:paraId="38000000">
      <w:pPr>
        <w:numPr>
          <w:numId w:val="5"/>
        </w:numPr>
        <w:spacing w:after="0" w:line="240" w:lineRule="auto"/>
        <w:ind w:hanging="360" w:left="99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на сайте proverki.gov.ru (для получения информации пользователю достаточно ввести ИНН, ОГРН или наименование своей компании);</w:t>
      </w:r>
    </w:p>
    <w:p w14:paraId="39000000">
      <w:pPr>
        <w:numPr>
          <w:numId w:val="5"/>
        </w:numPr>
        <w:spacing w:after="0" w:line="240" w:lineRule="auto"/>
        <w:ind w:hanging="360" w:left="99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 личном кабинете портала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>»;</w:t>
      </w:r>
    </w:p>
    <w:p w14:paraId="3A000000">
      <w:pPr>
        <w:numPr>
          <w:numId w:val="5"/>
        </w:numPr>
        <w:spacing w:after="0" w:line="240" w:lineRule="auto"/>
        <w:ind w:hanging="360" w:left="99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на цифровой платформе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МСП.РФ</w:t>
      </w:r>
      <w:r>
        <w:rPr>
          <w:rFonts w:ascii="Times New Roman" w:hAnsi="Times New Roman"/>
          <w:sz w:val="28"/>
        </w:rPr>
        <w:t>».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организованных мероприятиях по контролю можно посмотреть в открытой части ФГИС «Единый реестр контрольных (надзорных) мероприятий» (далее - ЕРКНМ) на сайте </w:t>
      </w:r>
      <w:r>
        <w:rPr>
          <w:rFonts w:ascii="Times New Roman" w:hAnsi="Times New Roman"/>
          <w:b w:val="1"/>
          <w:sz w:val="28"/>
        </w:rPr>
        <w:t>proverki.gov.ru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</w:t>
      </w:r>
      <w:r>
        <w:rPr>
          <w:rFonts w:ascii="Times New Roman" w:hAnsi="Times New Roman"/>
          <w:sz w:val="28"/>
        </w:rPr>
        <w:t>для получения информации о проведении проверки пользователю потребуется ввести номер мероприятия, дату его начала, ИНН, ОГРН или наименование своей организации).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решение о проведении контрольного (надзорного) мероприятия должно содержать </w:t>
      </w:r>
      <w:r>
        <w:rPr>
          <w:rFonts w:ascii="Times New Roman" w:hAnsi="Times New Roman"/>
          <w:b w:val="1"/>
          <w:sz w:val="28"/>
        </w:rPr>
        <w:t>QR-код</w:t>
      </w:r>
      <w:r>
        <w:rPr>
          <w:rFonts w:ascii="Times New Roman" w:hAnsi="Times New Roman"/>
          <w:sz w:val="28"/>
        </w:rPr>
        <w:t xml:space="preserve"> со ссылкой на соответствующее мероприятие в ЕРКНМ, с помощью которого в онлайн-режиме можно получить информацию о контрольном мероприятий, в том числе о согласовании </w:t>
      </w:r>
      <w:r>
        <w:br/>
      </w:r>
      <w:r>
        <w:rPr>
          <w:rFonts w:ascii="Times New Roman" w:hAnsi="Times New Roman"/>
          <w:sz w:val="28"/>
        </w:rPr>
        <w:t xml:space="preserve">с органами прокуратуры. 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отсутствии на документах контрольного (надзорного) органа </w:t>
      </w:r>
      <w:r>
        <w:rPr>
          <w:rFonts w:ascii="Times New Roman" w:hAnsi="Times New Roman"/>
          <w:b w:val="1"/>
          <w:sz w:val="28"/>
        </w:rPr>
        <w:t>QR-кода</w:t>
      </w:r>
      <w:r>
        <w:rPr>
          <w:rFonts w:ascii="Times New Roman" w:hAnsi="Times New Roman"/>
          <w:sz w:val="28"/>
        </w:rPr>
        <w:t xml:space="preserve"> (нанесение его некорректным способом) в допуске на объект контроля, </w:t>
      </w:r>
      <w:r>
        <w:br/>
      </w:r>
      <w:r>
        <w:rPr>
          <w:rFonts w:ascii="Times New Roman" w:hAnsi="Times New Roman"/>
          <w:sz w:val="28"/>
        </w:rPr>
        <w:t>к документам и в принятии иных мер по проведению контрольного (надзорного) мероприятия возможно отказать (</w:t>
      </w:r>
      <w:r>
        <w:rPr>
          <w:rFonts w:ascii="Times New Roman" w:hAnsi="Times New Roman"/>
          <w:sz w:val="28"/>
        </w:rPr>
        <w:t xml:space="preserve">часть 7 статьи 36 </w:t>
      </w:r>
      <w:r>
        <w:rPr>
          <w:rFonts w:ascii="Times New Roman" w:hAnsi="Times New Roman"/>
          <w:sz w:val="28"/>
        </w:rPr>
        <w:t>Федерального з</w:t>
      </w:r>
      <w:r>
        <w:rPr>
          <w:rFonts w:ascii="Times New Roman" w:hAnsi="Times New Roman"/>
          <w:sz w:val="28"/>
        </w:rPr>
        <w:t>акон</w:t>
      </w:r>
      <w:r>
        <w:rPr>
          <w:rFonts w:ascii="Times New Roman" w:hAnsi="Times New Roman"/>
          <w:sz w:val="28"/>
        </w:rPr>
        <w:t xml:space="preserve">а </w:t>
      </w:r>
      <w:r>
        <w:br/>
      </w:r>
      <w:r>
        <w:rPr>
          <w:rFonts w:ascii="Times New Roman" w:hAnsi="Times New Roman"/>
          <w:sz w:val="28"/>
        </w:rPr>
        <w:t>№ 248</w:t>
      </w:r>
      <w:r>
        <w:rPr>
          <w:rFonts w:ascii="Times New Roman" w:hAnsi="Times New Roman"/>
          <w:sz w:val="28"/>
        </w:rPr>
        <w:t>-ФЗ)</w:t>
      </w:r>
      <w:r>
        <w:rPr>
          <w:rFonts w:ascii="Times New Roman" w:hAnsi="Times New Roman"/>
          <w:sz w:val="28"/>
        </w:rPr>
        <w:t>.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ВАЖНО!</w:t>
      </w:r>
      <w:r>
        <w:rPr>
          <w:rFonts w:ascii="Times New Roman" w:hAnsi="Times New Roman"/>
          <w:sz w:val="28"/>
        </w:rPr>
        <w:t xml:space="preserve"> ПРОВЕДЕНИЕ КОНТРОЛЬНЫХ (НАДЗОРНЫХ) МЕРОПРИЯТИЙ, ИНФОРМАЦИЯ О КОТОРЫХ НА МОМЕНТ НАЧАЛА ПРОВЕДЕНИЯ ПРОВЕРКИ В ЕДИНОМ РЕЕСТРЕ КОНТРОЛЬНЫХ (НАДЗОРНЫХ) МЕРОПРИЯТИЙ ОТСУТСТВУЕТ, НЕ ДОПУСКАЕТСЯ.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ГРУБЫЕ НАРУШЕНИЯ, ВЛЕКУЩИЕ ПРИЗНАНИЕ РЕЗУЛЬТАТОВ ПРОВЕРКИ НЕДЕЙСТВИТЕЛЬНЫМИ: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6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оснований проведения контрольных (надзорных) мероприятий (далее – КНМ);</w:t>
      </w:r>
    </w:p>
    <w:p w14:paraId="47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согласования с органами прокуратуры проведения КНМ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случае, если такое согласование является обязательным;</w:t>
      </w:r>
    </w:p>
    <w:p w14:paraId="48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требования об уведомлении о проведении КНМ в случае, если такое уведомление является обязательным;</w:t>
      </w:r>
    </w:p>
    <w:p w14:paraId="49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периодичности проведения планового КНМ;</w:t>
      </w:r>
    </w:p>
    <w:p w14:paraId="4A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по результатам КНМ на основании оценки соблюдения положений нормативных правовых актов и иных документов, не являющихся обязательными требованиями;</w:t>
      </w:r>
    </w:p>
    <w:p w14:paraId="4B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сроков проведения КНМ;</w:t>
      </w:r>
    </w:p>
    <w:p w14:paraId="4C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совершение в ходе КНМ контрольных (надзорных) действий, не предусмотренных законами для такого вида КНМ;</w:t>
      </w:r>
    </w:p>
    <w:p w14:paraId="4D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непредоставление</w:t>
      </w:r>
      <w:r>
        <w:rPr>
          <w:rFonts w:ascii="Times New Roman" w:hAnsi="Times New Roman"/>
          <w:sz w:val="28"/>
        </w:rPr>
        <w:t xml:space="preserve"> для ознакомления документа с результатами КНМ в случае, если обязанность его предоставления установлена действующим законодательством;</w:t>
      </w:r>
    </w:p>
    <w:p w14:paraId="4E000000">
      <w:pPr>
        <w:pStyle w:val="Style_4"/>
        <w:numPr>
          <w:ilvl w:val="0"/>
          <w:numId w:val="6"/>
        </w:numPr>
        <w:spacing w:after="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запретов и ограничений, установленных действующим законодательством и т.д.</w:t>
      </w:r>
      <w:bookmarkStart w:id="1" w:name="_GoBack"/>
      <w:bookmarkEnd w:id="1"/>
    </w:p>
    <w:p w14:paraId="4F000000">
      <w:pPr>
        <w:pStyle w:val="Style_4"/>
        <w:spacing w:after="0" w:line="240" w:lineRule="auto"/>
        <w:ind w:firstLine="0" w:left="-566"/>
        <w:jc w:val="both"/>
        <w:rPr>
          <w:rFonts w:ascii="Times New Roman" w:hAnsi="Times New Roman"/>
          <w:sz w:val="28"/>
        </w:rPr>
      </w:pPr>
    </w:p>
    <w:p w14:paraId="50000000">
      <w:pPr>
        <w:pStyle w:val="Style_4"/>
        <w:spacing w:after="0" w:line="240" w:lineRule="auto"/>
        <w:ind w:firstLine="0" w:left="-566"/>
        <w:jc w:val="both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ДОЛЖНОСТНЫХ ЛИЦ КОНТРОЛИРУЮЩИХ ОРГАНОВ: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3000000">
      <w:pPr>
        <w:pStyle w:val="Style_4"/>
        <w:numPr>
          <w:ilvl w:val="0"/>
          <w:numId w:val="7"/>
        </w:numPr>
        <w:spacing w:after="0" w:line="240" w:lineRule="auto"/>
        <w:ind w:firstLine="0" w:left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несоблюдение требований законодательства о государственном контроле (надзоре), муниципальном контроле (ст. 19.6.1 КоАП РФ);</w:t>
      </w:r>
    </w:p>
    <w:p w14:paraId="54000000">
      <w:pPr>
        <w:pStyle w:val="Style_4"/>
        <w:numPr>
          <w:ilvl w:val="0"/>
          <w:numId w:val="7"/>
        </w:numPr>
        <w:spacing w:after="0" w:line="240" w:lineRule="auto"/>
        <w:ind w:firstLine="0" w:left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злоупотребление должностными полномочиями (ст.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285 УК РФ);</w:t>
      </w:r>
    </w:p>
    <w:p w14:paraId="55000000">
      <w:pPr>
        <w:pStyle w:val="Style_4"/>
        <w:numPr>
          <w:ilvl w:val="0"/>
          <w:numId w:val="7"/>
        </w:numPr>
        <w:spacing w:after="0" w:line="240" w:lineRule="auto"/>
        <w:ind w:firstLine="0" w:left="9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превышение должностных полномочий (ст.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286 УК РФ).</w:t>
      </w:r>
    </w:p>
    <w:p w14:paraId="56000000">
      <w:pPr>
        <w:pStyle w:val="Style_4"/>
        <w:spacing w:after="0" w:line="240" w:lineRule="auto"/>
        <w:ind w:firstLine="0" w:left="283"/>
        <w:jc w:val="both"/>
        <w:rPr>
          <w:rFonts w:ascii="Times New Roman" w:hAnsi="Times New Roman"/>
          <w:sz w:val="28"/>
        </w:rPr>
      </w:pPr>
    </w:p>
    <w:p w14:paraId="57000000">
      <w:pPr>
        <w:pStyle w:val="Style_4"/>
        <w:spacing w:after="0" w:line="240" w:lineRule="auto"/>
        <w:ind w:firstLine="0" w:left="283"/>
        <w:jc w:val="both"/>
        <w:rPr>
          <w:rFonts w:ascii="Times New Roman" w:hAnsi="Times New Roman"/>
          <w:sz w:val="28"/>
        </w:rPr>
      </w:pPr>
    </w:p>
    <w:p w14:paraId="58000000">
      <w:pPr>
        <w:pStyle w:val="Style_4"/>
        <w:spacing w:after="0" w:line="240" w:lineRule="auto"/>
        <w:ind w:firstLine="0" w:left="283"/>
        <w:jc w:val="both"/>
        <w:rPr>
          <w:rFonts w:ascii="Times New Roman" w:hAnsi="Times New Roman"/>
          <w:sz w:val="28"/>
        </w:rPr>
      </w:pPr>
    </w:p>
    <w:p w14:paraId="59000000">
      <w:pPr>
        <w:pStyle w:val="Style_4"/>
        <w:spacing w:after="0" w:line="240" w:lineRule="auto"/>
        <w:ind w:firstLine="0" w:left="283"/>
        <w:jc w:val="both"/>
        <w:rPr>
          <w:rFonts w:ascii="Times New Roman" w:hAnsi="Times New Roman"/>
          <w:sz w:val="28"/>
        </w:rPr>
      </w:pPr>
    </w:p>
    <w:p w14:paraId="5A000000">
      <w:pPr>
        <w:pStyle w:val="Style_4"/>
        <w:spacing w:after="0" w:line="240" w:lineRule="auto"/>
        <w:ind w:firstLine="0" w:left="-425"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КОНТРОЛИРУЕМЫХ ЛИЦ: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D000000">
      <w:pPr>
        <w:pStyle w:val="Style_4"/>
        <w:numPr>
          <w:ilvl w:val="0"/>
          <w:numId w:val="8"/>
        </w:numPr>
        <w:spacing w:after="0" w:line="240" w:lineRule="auto"/>
        <w:ind w:hanging="349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неповиновение законному распоряжению должностного лица органа, осуществляющего государственный надзор (контроль), муниципальный контроль (ст.19.4 КоАП РФ);</w:t>
      </w:r>
    </w:p>
    <w:p w14:paraId="5E000000">
      <w:pPr>
        <w:pStyle w:val="Style_4"/>
        <w:numPr>
          <w:ilvl w:val="0"/>
          <w:numId w:val="8"/>
        </w:numPr>
        <w:spacing w:after="0" w:line="240" w:lineRule="auto"/>
        <w:ind w:hanging="349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воспрепятствование законной деятельности должностного лица органа государственного контроля (надзора), муниципального контроля (ст.19.4.1 КоАП РФ).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КУДА ОБРАТИТЬСЯ, ЕСЛИ ВЫ ПОЛАГАЕТЕ, ЧТО ПРИ ПРОВЕРКЕ НАРУШЕН ЗАКОН: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при проведении проверки должностные лица органа контроля (надзора) своими действиями (бездействием) нарушают ваши права, вы вправе их обжаловать и обратиться с соответствующим заявлением:</w:t>
      </w:r>
    </w:p>
    <w:p w14:paraId="64000000">
      <w:pPr>
        <w:pStyle w:val="Style_4"/>
        <w:numPr>
          <w:ilvl w:val="0"/>
          <w:numId w:val="9"/>
        </w:numPr>
        <w:spacing w:after="0" w:line="240" w:lineRule="auto"/>
        <w:ind w:hanging="349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вышестоящему должностному лицу органа государственного контроля (надзора), муниципального контроля;</w:t>
      </w:r>
    </w:p>
    <w:p w14:paraId="65000000">
      <w:pPr>
        <w:pStyle w:val="Style_4"/>
        <w:numPr>
          <w:ilvl w:val="0"/>
          <w:numId w:val="9"/>
        </w:numPr>
        <w:spacing w:after="0" w:line="240" w:lineRule="auto"/>
        <w:ind w:hanging="349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</w:t>
      </w:r>
      <w:r>
        <w:rPr>
          <w:rFonts w:ascii="Times New Roman" w:hAnsi="Times New Roman"/>
          <w:sz w:val="28"/>
        </w:rPr>
        <w:t xml:space="preserve"> (при соблюдении требований досудебного обжалования)</w:t>
      </w:r>
      <w:r>
        <w:rPr>
          <w:rFonts w:ascii="Times New Roman" w:hAnsi="Times New Roman"/>
          <w:sz w:val="28"/>
        </w:rPr>
        <w:t>;</w:t>
      </w:r>
    </w:p>
    <w:p w14:paraId="66000000">
      <w:pPr>
        <w:pStyle w:val="Style_4"/>
        <w:numPr>
          <w:ilvl w:val="0"/>
          <w:numId w:val="9"/>
        </w:numPr>
        <w:spacing w:after="0" w:line="240" w:lineRule="auto"/>
        <w:ind w:hanging="349" w:left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органы прокуратуры по месту нахождения объекта контроля (надзора) или фактического осуществления деятельности.</w:t>
      </w:r>
    </w:p>
    <w:p w14:paraId="67000000">
      <w:pPr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1134" w:footer="0" w:gutter="0" w:header="709" w:left="1418" w:right="709" w:top="560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8000000">
      <w:pPr>
        <w:pStyle w:val="Style_22"/>
        <w:ind w:firstLine="0" w:left="0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Индикатор риска – это признак, который свидетельствует о высокой вероятности совершения нарушений    обязательных требований контролируемым лицом.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3"/>
    <w:basedOn w:val="Style_3"/>
    <w:link w:val="Style_6_ch"/>
    <w:pPr>
      <w:spacing w:after="0" w:line="240" w:lineRule="auto"/>
      <w:ind/>
      <w:jc w:val="center"/>
    </w:pPr>
    <w:rPr>
      <w:rFonts w:ascii="Arial Black" w:hAnsi="Arial Black"/>
    </w:rPr>
  </w:style>
  <w:style w:styleId="Style_6_ch" w:type="character">
    <w:name w:val="Body Text 3"/>
    <w:basedOn w:val="Style_3_ch"/>
    <w:link w:val="Style_6"/>
    <w:rPr>
      <w:rFonts w:ascii="Arial Black" w:hAnsi="Arial Black"/>
    </w:rPr>
  </w:style>
  <w:style w:styleId="Style_7" w:type="paragraph">
    <w:name w:val="toc 4"/>
    <w:next w:val="Style_3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3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List Paragraph"/>
    <w:basedOn w:val="Style_3"/>
    <w:link w:val="Style_4_ch"/>
    <w:pPr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14" w:type="paragraph">
    <w:name w:val="Строгий1"/>
    <w:basedOn w:val="Style_15"/>
    <w:link w:val="Style_14_ch"/>
    <w:rPr>
      <w:b w:val="1"/>
    </w:rPr>
  </w:style>
  <w:style w:styleId="Style_14_ch" w:type="character">
    <w:name w:val="Строгий1"/>
    <w:basedOn w:val="Style_15_ch"/>
    <w:link w:val="Style_14"/>
    <w:rPr>
      <w:b w:val="1"/>
    </w:rPr>
  </w:style>
  <w:style w:styleId="Style_16" w:type="paragraph">
    <w:name w:val="Normal (Web)"/>
    <w:basedOn w:val="Style_3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3_ch"/>
    <w:link w:val="Style_16"/>
    <w:rPr>
      <w:rFonts w:ascii="Times New Roman" w:hAnsi="Times New Roman"/>
      <w:sz w:val="24"/>
    </w:rPr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toc 1"/>
    <w:next w:val="Style_3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27" w:type="paragraph">
    <w:name w:val="toc 9"/>
    <w:next w:val="Style_3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5"/>
    <w:next w:val="Style_3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table">
    <w:name w:val="Сетка таблицы светлая1"/>
    <w:basedOn w:val="Style_2"/>
    <w:pPr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10" Target="endnotes.xml" Type="http://schemas.openxmlformats.org/officeDocument/2006/relationships/endnotes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11" Target="numbering.xml" Type="http://schemas.openxmlformats.org/officeDocument/2006/relationships/numbering"/>
  <Relationship Id="rId9" Target="footnotes.xml" Type="http://schemas.openxmlformats.org/officeDocument/2006/relationships/footnote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2025-10-22T07:53:35Z</dcterms:modified>
</cp:coreProperties>
</file>